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弋江区高架桥下空间综合利用及停车场（一期）项目</w:t>
      </w:r>
    </w:p>
    <w:p>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勘察劳务</w:t>
      </w:r>
      <w:r>
        <w:rPr>
          <w:rFonts w:hint="eastAsia" w:ascii="宋体" w:hAnsi="宋体" w:cs="宋体"/>
          <w:b/>
          <w:bCs/>
          <w:color w:val="auto"/>
          <w:spacing w:val="20"/>
          <w:sz w:val="30"/>
          <w:szCs w:val="30"/>
          <w:highlight w:val="none"/>
        </w:rPr>
        <w:t>询价采购</w:t>
      </w: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仿宋_GB2312" w:hAnsi="Times New Roman" w:cs="仿宋_GB2312"/>
          <w:color w:val="auto"/>
          <w:sz w:val="32"/>
          <w:szCs w:val="32"/>
          <w:highlight w:val="none"/>
        </w:rPr>
      </w:pPr>
    </w:p>
    <w:p>
      <w:pPr>
        <w:pStyle w:val="25"/>
        <w:rPr>
          <w:color w:val="auto"/>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hint="eastAsia" w:ascii="仿宋_GB2312" w:hAnsi="Times New Roman" w:cs="仿宋_GB2312"/>
          <w:color w:val="auto"/>
          <w:sz w:val="30"/>
          <w:szCs w:val="30"/>
          <w:highlight w:val="none"/>
        </w:rPr>
      </w:pPr>
    </w:p>
    <w:p>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pPr>
        <w:spacing w:line="560" w:lineRule="exact"/>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5</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11</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13日</w:t>
      </w:r>
    </w:p>
    <w:p>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3"/>
      <w:bookmarkStart w:id="2" w:name="OLE_LINK4"/>
      <w:bookmarkStart w:id="3" w:name="OLE_LINK2"/>
      <w:bookmarkStart w:id="4" w:name="OLE_LINK1"/>
    </w:p>
    <w:p>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bookmarkStart w:id="6" w:name="OLE_LINK6"/>
      <w:r>
        <w:rPr>
          <w:rFonts w:hint="eastAsia" w:ascii="宋体" w:hAnsi="宋体" w:cs="宋体"/>
          <w:b/>
          <w:bCs/>
          <w:color w:val="auto"/>
          <w:spacing w:val="20"/>
          <w:sz w:val="28"/>
          <w:szCs w:val="28"/>
          <w:highlight w:val="none"/>
          <w:lang w:val="en-US" w:eastAsia="zh-CN"/>
        </w:rPr>
        <w:t>弋江区高架桥下空间综合利用及停车场（一期）项目勘察</w:t>
      </w:r>
    </w:p>
    <w:p>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lang w:val="en-US" w:eastAsia="zh-CN"/>
        </w:rPr>
        <w:t>劳务</w:t>
      </w:r>
      <w:r>
        <w:rPr>
          <w:rFonts w:hint="eastAsia" w:ascii="宋体" w:hAnsi="宋体" w:cs="宋体"/>
          <w:b/>
          <w:bCs/>
          <w:color w:val="auto"/>
          <w:spacing w:val="20"/>
          <w:sz w:val="28"/>
          <w:szCs w:val="28"/>
          <w:highlight w:val="none"/>
        </w:rPr>
        <w:t>询价公告</w:t>
      </w:r>
      <w:bookmarkEnd w:id="0"/>
    </w:p>
    <w:p>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弋江区高架桥下空间综合利用及停车场（一期）项目勘察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pPr>
        <w:pStyle w:val="25"/>
        <w:rPr>
          <w:rFonts w:hint="eastAsia"/>
          <w:color w:val="auto"/>
          <w:highlight w:val="none"/>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弋江区高架桥下空间综合利用及停车场（一期）项目勘察。</w:t>
      </w:r>
    </w:p>
    <w:p>
      <w:pPr>
        <w:autoSpaceDE w:val="0"/>
        <w:autoSpaceDN w:val="0"/>
        <w:adjustRightInd w:val="0"/>
        <w:spacing w:line="360" w:lineRule="auto"/>
        <w:ind w:firstLine="480" w:firstLineChars="200"/>
        <w:jc w:val="left"/>
        <w:rPr>
          <w:rFonts w:hint="default"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2.项目地点：本项目建设地点为芜湖市</w:t>
      </w:r>
      <w:r>
        <w:rPr>
          <w:rFonts w:hint="eastAsia" w:ascii="宋体" w:hAnsi="宋体" w:cs="宋体"/>
          <w:color w:val="auto"/>
          <w:sz w:val="24"/>
          <w:szCs w:val="24"/>
          <w:highlight w:val="none"/>
          <w:lang w:val="en-US" w:eastAsia="zh-CN"/>
        </w:rPr>
        <w:t>弋江区</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3.项目规模：共五个停车场，总占地面积约4.5万平方米</w:t>
      </w:r>
    </w:p>
    <w:p>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sz w:val="24"/>
          <w:szCs w:val="24"/>
          <w:highlight w:val="none"/>
          <w:lang w:val="en-US" w:eastAsia="zh-CN"/>
        </w:rPr>
        <w:t>天，进场时间以甲方通知为准。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7.报价方式：投标报价必须以单价形式报价，报价格式为：</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米、</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台</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8.招标控制价</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陆域机钻孔35元/米、静力触探孔15元/米，转场费限价500元/台</w:t>
      </w:r>
    </w:p>
    <w:p>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注：潜在报价人在参加报价前需填写《协作方信息表》（详见附件）办理协作方登记，在报价时间截止前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pPr>
        <w:autoSpaceDE w:val="0"/>
        <w:autoSpaceDN w:val="0"/>
        <w:adjustRightInd w:val="0"/>
        <w:spacing w:line="360" w:lineRule="auto"/>
        <w:ind w:firstLine="480" w:firstLineChars="200"/>
        <w:jc w:val="left"/>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lang w:val="en-US" w:eastAsia="zh-CN"/>
        </w:rPr>
        <w:t>注：</w:t>
      </w:r>
      <w:r>
        <w:rPr>
          <w:rFonts w:hint="eastAsia" w:ascii="宋体" w:hAnsi="宋体" w:cs="仿宋_GB2312"/>
          <w:color w:val="auto"/>
          <w:sz w:val="24"/>
          <w:szCs w:val="24"/>
          <w:highlight w:val="none"/>
        </w:rPr>
        <w:t>询价人有权使用电子房票或其他供应链金融产品等非现金形式付款，若产生票据贴现等相关费用由中标人自理，询价人配合中标人办理相关手续</w:t>
      </w:r>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jc w:val="both"/>
        <w:rPr>
          <w:rFonts w:ascii="宋体" w:hAnsi="宋体" w:cs="宋体"/>
          <w:color w:val="auto"/>
          <w:kern w:val="0"/>
          <w:sz w:val="24"/>
          <w:szCs w:val="24"/>
          <w:highlight w:val="none"/>
        </w:rPr>
      </w:pPr>
    </w:p>
    <w:p>
      <w:pPr>
        <w:adjustRightInd w:val="0"/>
        <w:snapToGrid w:val="0"/>
        <w:spacing w:line="360" w:lineRule="auto"/>
        <w:jc w:val="both"/>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13</w:t>
      </w:r>
      <w:r>
        <w:rPr>
          <w:rFonts w:hint="eastAsia" w:ascii="宋体" w:hAnsi="宋体" w:cs="宋体"/>
          <w:color w:val="auto"/>
          <w:kern w:val="0"/>
          <w:sz w:val="24"/>
          <w:szCs w:val="24"/>
          <w:highlight w:val="none"/>
        </w:rPr>
        <w:t>日</w:t>
      </w:r>
    </w:p>
    <w:p>
      <w:pPr>
        <w:spacing w:line="500" w:lineRule="exact"/>
        <w:jc w:val="center"/>
        <w:rPr>
          <w:b/>
          <w:color w:val="auto"/>
          <w:sz w:val="28"/>
          <w:szCs w:val="28"/>
          <w:highlight w:val="none"/>
        </w:rPr>
      </w:pPr>
      <w:r>
        <w:rPr>
          <w:b/>
          <w:color w:val="auto"/>
          <w:sz w:val="36"/>
          <w:szCs w:val="36"/>
          <w:highlight w:val="none"/>
        </w:rPr>
        <w:br w:type="page"/>
      </w:r>
      <w:bookmarkStart w:id="7" w:name="_GoBack"/>
      <w:r>
        <w:rPr>
          <w:b/>
          <w:color w:val="auto"/>
          <w:sz w:val="28"/>
          <w:szCs w:val="28"/>
          <w:highlight w:val="none"/>
        </w:rPr>
        <w:t>中铁时代建筑设计院有限公司</w:t>
      </w:r>
    </w:p>
    <w:p>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弋江区高架桥下空间综合利用及停车场（一期）项目勘察</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预估工作量:机钻10个，孔深20米，进尺约200米；静探20个，孔深约20米，进尺约400米</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投标报价必须以单价形式报价，报价格式为：*.**元/</w:t>
            </w:r>
            <w:r>
              <w:rPr>
                <w:rFonts w:hint="eastAsia" w:ascii="宋体" w:hAnsi="宋体" w:cs="宋体"/>
                <w:color w:val="auto"/>
                <w:kern w:val="0"/>
                <w:sz w:val="24"/>
                <w:szCs w:val="24"/>
                <w:highlight w:val="none"/>
                <w:lang w:val="en-US" w:eastAsia="zh-CN"/>
              </w:rPr>
              <w:t>台班，</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台。</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陆域机钻孔35元/米、静力触探孔15元/米，转场费限价500元/台</w:t>
            </w:r>
          </w:p>
        </w:tc>
      </w:tr>
      <w:tr>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陆域机钻孔</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元/米、静力触探孔</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元/米，转场费限价</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元/台</w:t>
            </w:r>
          </w:p>
        </w:tc>
      </w:tr>
      <w:tr>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5.询价人有权使用电子房票或其他供应链金融产品等非现金形式付款，若产生票据贴现等相关费用由中标人自理，询价人配合中标人办理相关手续；</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.有意向者，请于202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11月17</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pPr>
        <w:rPr>
          <w:rFonts w:hint="eastAsia"/>
          <w:color w:val="auto"/>
          <w:highlight w:val="none"/>
          <w:lang w:eastAsia="zh-CN"/>
        </w:rPr>
      </w:pPr>
    </w:p>
    <w:bookmarkEnd w:id="7"/>
    <w:p>
      <w:pPr>
        <w:rPr>
          <w:rFonts w:hint="eastAsia"/>
          <w:color w:val="auto"/>
          <w:highlight w:val="none"/>
          <w:lang w:eastAsia="zh-CN"/>
        </w:rPr>
      </w:pPr>
    </w:p>
    <w:p>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125A1D"/>
    <w:rsid w:val="07811712"/>
    <w:rsid w:val="07A37E0D"/>
    <w:rsid w:val="0830573A"/>
    <w:rsid w:val="08321601"/>
    <w:rsid w:val="08B96A4E"/>
    <w:rsid w:val="08C35F7B"/>
    <w:rsid w:val="08F74842"/>
    <w:rsid w:val="0A044763"/>
    <w:rsid w:val="0AE30B6B"/>
    <w:rsid w:val="0BD95CC8"/>
    <w:rsid w:val="0C775AB9"/>
    <w:rsid w:val="0C9E5822"/>
    <w:rsid w:val="0D87676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E64914"/>
    <w:rsid w:val="1E104D07"/>
    <w:rsid w:val="1E5D2564"/>
    <w:rsid w:val="1F9A2F53"/>
    <w:rsid w:val="2030489A"/>
    <w:rsid w:val="207B629C"/>
    <w:rsid w:val="207D47DA"/>
    <w:rsid w:val="20916CFE"/>
    <w:rsid w:val="22817E8F"/>
    <w:rsid w:val="23330BFE"/>
    <w:rsid w:val="2441620F"/>
    <w:rsid w:val="25446081"/>
    <w:rsid w:val="26D519C6"/>
    <w:rsid w:val="28603DCD"/>
    <w:rsid w:val="28DE3F9A"/>
    <w:rsid w:val="28E43F87"/>
    <w:rsid w:val="2AF04774"/>
    <w:rsid w:val="2B633352"/>
    <w:rsid w:val="2C190D63"/>
    <w:rsid w:val="2CCE09B8"/>
    <w:rsid w:val="2D243BAB"/>
    <w:rsid w:val="2DDA37A2"/>
    <w:rsid w:val="2DEC055A"/>
    <w:rsid w:val="2E1F78FE"/>
    <w:rsid w:val="2F1A1856"/>
    <w:rsid w:val="2F91290D"/>
    <w:rsid w:val="306F6904"/>
    <w:rsid w:val="309217BB"/>
    <w:rsid w:val="30C85DB6"/>
    <w:rsid w:val="311740FF"/>
    <w:rsid w:val="31855454"/>
    <w:rsid w:val="319F6FF6"/>
    <w:rsid w:val="31C0074A"/>
    <w:rsid w:val="33BB38AA"/>
    <w:rsid w:val="3484205C"/>
    <w:rsid w:val="34BA1016"/>
    <w:rsid w:val="34EC34A5"/>
    <w:rsid w:val="357C3ACE"/>
    <w:rsid w:val="35AA7EB8"/>
    <w:rsid w:val="35DA4CB9"/>
    <w:rsid w:val="3623024E"/>
    <w:rsid w:val="368B34CA"/>
    <w:rsid w:val="36FC6348"/>
    <w:rsid w:val="376B098E"/>
    <w:rsid w:val="377D0689"/>
    <w:rsid w:val="38926603"/>
    <w:rsid w:val="39F70E15"/>
    <w:rsid w:val="3A1763DB"/>
    <w:rsid w:val="3A2A02DA"/>
    <w:rsid w:val="3A9924BA"/>
    <w:rsid w:val="3BF74A34"/>
    <w:rsid w:val="3CD453E2"/>
    <w:rsid w:val="3EA06792"/>
    <w:rsid w:val="3F6924F5"/>
    <w:rsid w:val="4039289E"/>
    <w:rsid w:val="423073E6"/>
    <w:rsid w:val="425801C1"/>
    <w:rsid w:val="4361192E"/>
    <w:rsid w:val="436A68BB"/>
    <w:rsid w:val="44561929"/>
    <w:rsid w:val="44C06064"/>
    <w:rsid w:val="455D5AE3"/>
    <w:rsid w:val="45735B99"/>
    <w:rsid w:val="465C3033"/>
    <w:rsid w:val="47990C6A"/>
    <w:rsid w:val="48AC091D"/>
    <w:rsid w:val="490B3AC9"/>
    <w:rsid w:val="49842BAC"/>
    <w:rsid w:val="49A330DF"/>
    <w:rsid w:val="49BB610B"/>
    <w:rsid w:val="4A4E3AEF"/>
    <w:rsid w:val="4AA56CF3"/>
    <w:rsid w:val="4AEB5138"/>
    <w:rsid w:val="4B146EF8"/>
    <w:rsid w:val="4BA32FD7"/>
    <w:rsid w:val="4BD023EF"/>
    <w:rsid w:val="4D2B6C9B"/>
    <w:rsid w:val="4D6F0B5D"/>
    <w:rsid w:val="4E182E88"/>
    <w:rsid w:val="4E6C37FC"/>
    <w:rsid w:val="4ED63564"/>
    <w:rsid w:val="4FFE255F"/>
    <w:rsid w:val="505855EE"/>
    <w:rsid w:val="512D283B"/>
    <w:rsid w:val="52572B55"/>
    <w:rsid w:val="52957F38"/>
    <w:rsid w:val="56151509"/>
    <w:rsid w:val="56974981"/>
    <w:rsid w:val="58493317"/>
    <w:rsid w:val="58654244"/>
    <w:rsid w:val="58987D9A"/>
    <w:rsid w:val="58C2612B"/>
    <w:rsid w:val="59893975"/>
    <w:rsid w:val="5B1234AD"/>
    <w:rsid w:val="5C4E40FD"/>
    <w:rsid w:val="5D7A5205"/>
    <w:rsid w:val="5D995952"/>
    <w:rsid w:val="5E152CE6"/>
    <w:rsid w:val="5E6E0926"/>
    <w:rsid w:val="5E7E671B"/>
    <w:rsid w:val="5EA3209D"/>
    <w:rsid w:val="5F2705DD"/>
    <w:rsid w:val="5F8529C6"/>
    <w:rsid w:val="5FC12957"/>
    <w:rsid w:val="600B0105"/>
    <w:rsid w:val="60384E70"/>
    <w:rsid w:val="6059527B"/>
    <w:rsid w:val="60B31248"/>
    <w:rsid w:val="60C53352"/>
    <w:rsid w:val="610B2FCB"/>
    <w:rsid w:val="6115406C"/>
    <w:rsid w:val="61334931"/>
    <w:rsid w:val="61A91598"/>
    <w:rsid w:val="621B0081"/>
    <w:rsid w:val="632559F6"/>
    <w:rsid w:val="6349100E"/>
    <w:rsid w:val="63BB2530"/>
    <w:rsid w:val="64EA41AD"/>
    <w:rsid w:val="65055D55"/>
    <w:rsid w:val="65BC0577"/>
    <w:rsid w:val="66DE63C5"/>
    <w:rsid w:val="676623EE"/>
    <w:rsid w:val="67B45470"/>
    <w:rsid w:val="6884503C"/>
    <w:rsid w:val="6A79433D"/>
    <w:rsid w:val="6B14233D"/>
    <w:rsid w:val="6B1D100E"/>
    <w:rsid w:val="6BD623FB"/>
    <w:rsid w:val="6BEC7728"/>
    <w:rsid w:val="6D19395E"/>
    <w:rsid w:val="6EA0024F"/>
    <w:rsid w:val="6FB53F1E"/>
    <w:rsid w:val="704233DE"/>
    <w:rsid w:val="70A906E5"/>
    <w:rsid w:val="70E51186"/>
    <w:rsid w:val="71B318F9"/>
    <w:rsid w:val="73FB644B"/>
    <w:rsid w:val="74847DE0"/>
    <w:rsid w:val="76BD14D0"/>
    <w:rsid w:val="76D66344"/>
    <w:rsid w:val="776B03F9"/>
    <w:rsid w:val="79C51288"/>
    <w:rsid w:val="7AE121E1"/>
    <w:rsid w:val="7D133243"/>
    <w:rsid w:val="7D6E149A"/>
    <w:rsid w:val="7DE130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1287</Words>
  <Characters>1462</Characters>
  <Lines>1</Lines>
  <Paragraphs>1</Paragraphs>
  <TotalTime>26</TotalTime>
  <ScaleCrop>false</ScaleCrop>
  <LinksUpToDate>false</LinksUpToDate>
  <CharactersWithSpaces>1512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zt12</cp:lastModifiedBy>
  <cp:lastPrinted>2025-09-01T09:11:00Z</cp:lastPrinted>
  <dcterms:modified xsi:type="dcterms:W3CDTF">2025-11-14T04:03:36Z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3556AB5574EB40A99CC0D59201380E5A_13</vt:lpwstr>
  </property>
  <property fmtid="{D5CDD505-2E9C-101B-9397-08002B2CF9AE}" pid="4" name="KSOTemplateDocerSaveRecord">
    <vt:lpwstr>eyJoZGlkIjoiOGVhMmY3ZTI1MTkwNDVjYWU3ZmMwMWVmZjU5NmNjNGYiLCJ1c2VySWQiOiI2NDcyMzE5MzkifQ==</vt:lpwstr>
  </property>
</Properties>
</file>